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86" w:rsidRDefault="00A47C86">
      <w:pPr>
        <w:rPr>
          <w:lang w:val="uk-UA"/>
        </w:rPr>
      </w:pPr>
      <w:r w:rsidRPr="00A47C86">
        <w:rPr>
          <w:rFonts w:ascii="Times New Roman CYR" w:hAnsi="Times New Roman CYR"/>
          <w:b/>
          <w:sz w:val="32"/>
          <w:szCs w:val="32"/>
          <w:lang w:val="uk-UA"/>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50pt;height:175.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10;ПРОФСПІЛКОВИЙ ВІСНИК&#10; №8&#10;жовтень 2017 року"/>
          </v:shape>
        </w:pict>
      </w:r>
    </w:p>
    <w:p w:rsidR="00FD2393" w:rsidRDefault="00A25FC0">
      <w:pPr>
        <w:rPr>
          <w:lang w:val="uk-UA"/>
        </w:rPr>
      </w:pPr>
      <w:r>
        <w:rPr>
          <w:noProof/>
        </w:rPr>
        <w:drawing>
          <wp:anchor distT="0" distB="0" distL="114300" distR="114300" simplePos="0" relativeHeight="251658240" behindDoc="0" locked="0" layoutInCell="1" allowOverlap="1">
            <wp:simplePos x="0" y="0"/>
            <wp:positionH relativeFrom="column">
              <wp:posOffset>-184785</wp:posOffset>
            </wp:positionH>
            <wp:positionV relativeFrom="paragraph">
              <wp:posOffset>168910</wp:posOffset>
            </wp:positionV>
            <wp:extent cx="5940425" cy="3657600"/>
            <wp:effectExtent l="19050" t="0" r="3175" b="0"/>
            <wp:wrapSquare wrapText="bothSides"/>
            <wp:docPr id="6" name="Рисунок 6" descr="D:\2451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245146_1.jpg"/>
                    <pic:cNvPicPr>
                      <a:picLocks noChangeAspect="1" noChangeArrowheads="1"/>
                    </pic:cNvPicPr>
                  </pic:nvPicPr>
                  <pic:blipFill>
                    <a:blip r:embed="rId4"/>
                    <a:srcRect/>
                    <a:stretch>
                      <a:fillRect/>
                    </a:stretch>
                  </pic:blipFill>
                  <pic:spPr bwMode="auto">
                    <a:xfrm>
                      <a:off x="0" y="0"/>
                      <a:ext cx="5940425" cy="3657600"/>
                    </a:xfrm>
                    <a:prstGeom prst="rect">
                      <a:avLst/>
                    </a:prstGeom>
                    <a:noFill/>
                    <a:ln w="9525">
                      <a:noFill/>
                      <a:miter lim="800000"/>
                      <a:headEnd/>
                      <a:tailEnd/>
                    </a:ln>
                  </pic:spPr>
                </pic:pic>
              </a:graphicData>
            </a:graphic>
          </wp:anchor>
        </w:drawing>
      </w:r>
    </w:p>
    <w:p w:rsidR="00FD2393" w:rsidRPr="00166032" w:rsidRDefault="00FD2393" w:rsidP="00FD2393">
      <w:pPr>
        <w:rPr>
          <w:rFonts w:ascii="Times New Roman" w:hAnsi="Times New Roman" w:cs="Times New Roman"/>
          <w:sz w:val="32"/>
          <w:szCs w:val="32"/>
          <w:lang w:val="uk-UA"/>
        </w:rPr>
      </w:pPr>
      <w:r w:rsidRPr="00FD2393">
        <w:rPr>
          <w:rFonts w:ascii="Times New Roman" w:hAnsi="Times New Roman" w:cs="Times New Roman"/>
          <w:sz w:val="32"/>
          <w:szCs w:val="32"/>
        </w:rPr>
        <w:t xml:space="preserve">  </w:t>
      </w:r>
      <w:r w:rsidR="00A25FC0">
        <w:rPr>
          <w:rFonts w:ascii="Times New Roman" w:hAnsi="Times New Roman" w:cs="Times New Roman"/>
          <w:sz w:val="32"/>
          <w:szCs w:val="32"/>
        </w:rPr>
        <w:t xml:space="preserve">    </w:t>
      </w:r>
      <w:r>
        <w:rPr>
          <w:rFonts w:ascii="Times New Roman" w:hAnsi="Times New Roman" w:cs="Times New Roman"/>
          <w:sz w:val="32"/>
          <w:szCs w:val="32"/>
          <w:lang w:val="uk-UA"/>
        </w:rPr>
        <w:t xml:space="preserve">                 </w:t>
      </w:r>
      <w:r w:rsidRPr="00FD2393">
        <w:rPr>
          <w:rFonts w:ascii="Times New Roman" w:hAnsi="Times New Roman" w:cs="Times New Roman"/>
          <w:sz w:val="32"/>
          <w:szCs w:val="32"/>
        </w:rPr>
        <w:t xml:space="preserve"> </w:t>
      </w:r>
      <w:r w:rsidRPr="00166032">
        <w:rPr>
          <w:rFonts w:ascii="Times New Roman" w:hAnsi="Times New Roman" w:cs="Times New Roman"/>
          <w:sz w:val="28"/>
          <w:szCs w:val="28"/>
          <w:lang w:val="uk-UA"/>
        </w:rPr>
        <w:t>Вітаємо усіх із Днем захисника України</w:t>
      </w:r>
      <w:r w:rsidR="0044316D" w:rsidRPr="00166032">
        <w:rPr>
          <w:rFonts w:ascii="Times New Roman" w:hAnsi="Times New Roman" w:cs="Times New Roman"/>
          <w:sz w:val="28"/>
          <w:szCs w:val="28"/>
          <w:lang w:val="uk-UA"/>
        </w:rPr>
        <w:t>!</w:t>
      </w:r>
      <w:r w:rsidRPr="00166032">
        <w:rPr>
          <w:rFonts w:ascii="Times New Roman" w:hAnsi="Times New Roman" w:cs="Times New Roman"/>
          <w:sz w:val="28"/>
          <w:szCs w:val="28"/>
          <w:lang w:val="uk-UA"/>
        </w:rPr>
        <w:br/>
      </w:r>
    </w:p>
    <w:p w:rsidR="00FD2393" w:rsidRPr="00166032" w:rsidRDefault="00FD2393" w:rsidP="00FD2393">
      <w:pPr>
        <w:jc w:val="both"/>
        <w:rPr>
          <w:rFonts w:ascii="Times New Roman" w:hAnsi="Times New Roman" w:cs="Times New Roman"/>
          <w:sz w:val="28"/>
          <w:szCs w:val="28"/>
          <w:lang w:val="uk-UA"/>
        </w:rPr>
      </w:pPr>
      <w:r w:rsidRPr="00166032">
        <w:rPr>
          <w:rFonts w:ascii="Times New Roman" w:hAnsi="Times New Roman" w:cs="Times New Roman"/>
          <w:sz w:val="28"/>
          <w:szCs w:val="28"/>
          <w:lang w:val="uk-UA"/>
        </w:rPr>
        <w:t xml:space="preserve">   Це справжнє свято мужності й самовідданості, свято лицарства і благородства.</w:t>
      </w:r>
    </w:p>
    <w:p w:rsidR="00FD2393" w:rsidRPr="00166032" w:rsidRDefault="00FD2393" w:rsidP="00FD2393">
      <w:pPr>
        <w:jc w:val="both"/>
        <w:rPr>
          <w:rFonts w:ascii="Times New Roman" w:hAnsi="Times New Roman" w:cs="Times New Roman"/>
          <w:sz w:val="28"/>
          <w:szCs w:val="28"/>
          <w:lang w:val="uk-UA"/>
        </w:rPr>
      </w:pPr>
      <w:r w:rsidRPr="00166032">
        <w:rPr>
          <w:rFonts w:ascii="Times New Roman" w:hAnsi="Times New Roman" w:cs="Times New Roman"/>
          <w:sz w:val="28"/>
          <w:szCs w:val="28"/>
          <w:lang w:val="uk-UA"/>
        </w:rPr>
        <w:t xml:space="preserve">    Прийміть вітання ті, хто носить високе звання захисника України.  Бажаємо успіху  і тим, у кого іспит на нього ще попереду. </w:t>
      </w:r>
      <w:r w:rsidR="00A25FC0" w:rsidRPr="00166032">
        <w:rPr>
          <w:rFonts w:ascii="Times New Roman" w:hAnsi="Times New Roman" w:cs="Times New Roman"/>
          <w:sz w:val="28"/>
          <w:szCs w:val="28"/>
          <w:lang w:val="uk-UA"/>
        </w:rPr>
        <w:t xml:space="preserve">    </w:t>
      </w:r>
      <w:r w:rsidRPr="00166032">
        <w:rPr>
          <w:rFonts w:ascii="Times New Roman" w:hAnsi="Times New Roman" w:cs="Times New Roman"/>
          <w:sz w:val="28"/>
          <w:szCs w:val="28"/>
          <w:lang w:val="uk-UA"/>
        </w:rPr>
        <w:t>Шлемо сердечні вітання ветеранам, учасникам війни, військовослужбовцям, воїнам запасу, батькам та матерям солдатів та зичимо міцного здоров'я, добра, щастя, злагоди Вам та Вашим родинам.</w:t>
      </w:r>
    </w:p>
    <w:p w:rsidR="00FD2393" w:rsidRDefault="00A25FC0" w:rsidP="00FD2393">
      <w:pPr>
        <w:jc w:val="both"/>
        <w:rPr>
          <w:rFonts w:ascii="Times New Roman" w:hAnsi="Times New Roman" w:cs="Times New Roman"/>
          <w:sz w:val="32"/>
          <w:szCs w:val="32"/>
          <w:lang w:val="uk-UA"/>
        </w:rPr>
      </w:pPr>
      <w:r w:rsidRPr="00166032">
        <w:rPr>
          <w:rFonts w:ascii="Times New Roman" w:hAnsi="Times New Roman" w:cs="Times New Roman"/>
          <w:sz w:val="28"/>
          <w:szCs w:val="28"/>
          <w:lang w:val="uk-UA"/>
        </w:rPr>
        <w:t xml:space="preserve">                                </w:t>
      </w:r>
      <w:r w:rsidR="00FD2393" w:rsidRPr="00166032">
        <w:rPr>
          <w:rFonts w:ascii="Times New Roman" w:hAnsi="Times New Roman" w:cs="Times New Roman"/>
          <w:sz w:val="28"/>
          <w:szCs w:val="28"/>
          <w:lang w:val="uk-UA"/>
        </w:rPr>
        <w:t xml:space="preserve">  Райком профспілки</w:t>
      </w:r>
      <w:r w:rsidR="00FD2393" w:rsidRPr="00A25FC0">
        <w:rPr>
          <w:rFonts w:ascii="Times New Roman" w:hAnsi="Times New Roman" w:cs="Times New Roman"/>
          <w:sz w:val="28"/>
          <w:szCs w:val="28"/>
          <w:lang w:val="uk-UA"/>
        </w:rPr>
        <w:t xml:space="preserve"> працівників освіти і науки Україн</w:t>
      </w:r>
      <w:r w:rsidR="00FD2393">
        <w:rPr>
          <w:rFonts w:ascii="Times New Roman" w:hAnsi="Times New Roman" w:cs="Times New Roman"/>
          <w:sz w:val="32"/>
          <w:szCs w:val="32"/>
          <w:lang w:val="uk-UA"/>
        </w:rPr>
        <w:t>и</w:t>
      </w:r>
    </w:p>
    <w:p w:rsidR="00B81928" w:rsidRPr="00166032" w:rsidRDefault="00A47C86" w:rsidP="00B81928">
      <w:pPr>
        <w:spacing w:after="0" w:line="240" w:lineRule="auto"/>
        <w:jc w:val="center"/>
        <w:outlineLvl w:val="1"/>
        <w:rPr>
          <w:rFonts w:ascii="Arial" w:eastAsia="Times New Roman" w:hAnsi="Arial" w:cs="Arial"/>
          <w:color w:val="212421"/>
          <w:sz w:val="30"/>
          <w:szCs w:val="30"/>
          <w:lang w:val="uk-UA"/>
        </w:rPr>
      </w:pPr>
      <w:hyperlink r:id="rId5" w:history="1">
        <w:r w:rsidR="00B81928" w:rsidRPr="00166032">
          <w:rPr>
            <w:rFonts w:ascii="Arial" w:eastAsia="Times New Roman" w:hAnsi="Arial" w:cs="Arial"/>
            <w:color w:val="27677C"/>
            <w:sz w:val="30"/>
            <w:u w:val="single"/>
            <w:lang w:val="uk-UA"/>
          </w:rPr>
          <w:t>Щодо спільної роботи близьких осіб у навчальному закладі: профспілка роз’яснює</w:t>
        </w:r>
      </w:hyperlink>
    </w:p>
    <w:p w:rsidR="00B81928" w:rsidRPr="00166032" w:rsidRDefault="00B81928" w:rsidP="00B81928">
      <w:pPr>
        <w:spacing w:after="0"/>
        <w:jc w:val="both"/>
        <w:rPr>
          <w:rFonts w:ascii="Times New Roman" w:hAnsi="Times New Roman" w:cs="Times New Roman"/>
          <w:lang w:val="uk-UA"/>
        </w:rPr>
      </w:pP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ЦК Профспілки працівників освіти і науки розглянув звернення щодо правомірності прийняття на посаду сторожа свого чоловіка під час виконання особою обов’язків тимчасово відсутнього керівника навчального закладу та надав таке роз’яснення. Законом України від 14.10.2014 № 1700-VII «Про запобігання корупції» визначено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Відповідно до абзацу першого частини першої статті 27 Закону № 1700 не можуть мати у прямому підпорядкуванні близьких їм осіб або бути прямо підпорядкованими у зв’язку з виконанням повноважень близьким їм особам особи, зазначені у підпунктах «а», «в» – «з» пункту 1 частини першої статті 3 цього Закону. Зокрема, до них належать особи, уповноважені на виконання функцій держави або місцевого самоврядування: депутати місцевих рад, сільські, селищні, міські голови; міністри, інші відповідні керівники; державні службовці; посадові особи органів місцевого самоврядування.</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Особи, які претендують на зайняття зазначених посад, зобов’язані повідомити керівництво органу, на посаду в якому вони претендують, про працюючих у цьому органі близьких їм осіб.</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У цьому Законі наведені вище терміни вживаються в такому значенні:</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близькі особи – особи, які спільно проживають, пов’язані спільним побутом і мають взаємні права та обов’язки із суб’єктом, зазначеним у частині першій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166032">
        <w:rPr>
          <w:rFonts w:ascii="Times New Roman" w:hAnsi="Times New Roman" w:cs="Times New Roman"/>
          <w:lang w:val="uk-UA"/>
        </w:rPr>
        <w:t>усиновлювач</w:t>
      </w:r>
      <w:proofErr w:type="spellEnd"/>
      <w:r w:rsidRPr="00166032">
        <w:rPr>
          <w:rFonts w:ascii="Times New Roman" w:hAnsi="Times New Roman" w:cs="Times New Roman"/>
          <w:lang w:val="uk-UA"/>
        </w:rPr>
        <w:t xml:space="preserve"> чи усиновлений, опікун чи піклувальник, особа, яка перебуває під опікою або піклуванням згаданого суб’єкта.</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Обмеження щодо спільної роботи близьких осіб не поширюється на керівників закладів освіти, оскільки вони не належать до категорії осіб, які для цілей цього Закону прирівнюються до осіб, уповноважених на виконання функцій держави або місцевого самоврядування, а саме – посадових осіб юридичних осіб публічного права, які не зазначені у пункті 1 частини 1 статті 27 Закону.</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У той же час, частиною першою статті 28 Закону № 1700 передбачено, що особи, зазначені в пунктах 1, 2 частини першої статті 3 Закону (в тому числі працівники закладів освіти) зобов’язані:</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вживати заходів щодо недопущення виникнення реального, потенційного конфлікту інтересів;</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 не вчиняти дій та не приймати рішень в умовах реального конфлікту інтересів;</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вжити заходів щодо врегулювання реального чи потенційного конфлікту інтересів.</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Згідно із статтею 1 Закону України «Про запобігання корупції»:</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потенційний конфлікт інтересів - це наявність у особи приватного інтересу у сфері, в якій вона виконує свої службові чи представницькі повноваження, що може вплинути на об’єктивність чи </w:t>
      </w:r>
      <w:r w:rsidRPr="00166032">
        <w:rPr>
          <w:rFonts w:ascii="Times New Roman" w:hAnsi="Times New Roman" w:cs="Times New Roman"/>
          <w:lang w:val="uk-UA"/>
        </w:rPr>
        <w:lastRenderedPageBreak/>
        <w:t xml:space="preserve">неупередженість прийняття нею рішень, або на вчинення чи </w:t>
      </w:r>
      <w:proofErr w:type="spellStart"/>
      <w:r w:rsidRPr="00166032">
        <w:rPr>
          <w:rFonts w:ascii="Times New Roman" w:hAnsi="Times New Roman" w:cs="Times New Roman"/>
          <w:lang w:val="uk-UA"/>
        </w:rPr>
        <w:t>невчинення</w:t>
      </w:r>
      <w:proofErr w:type="spellEnd"/>
      <w:r w:rsidRPr="00166032">
        <w:rPr>
          <w:rFonts w:ascii="Times New Roman" w:hAnsi="Times New Roman" w:cs="Times New Roman"/>
          <w:lang w:val="uk-UA"/>
        </w:rPr>
        <w:t xml:space="preserve"> дій під час виконання зазначених повноважень;</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реальний конфлікт інтересів – це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166032">
        <w:rPr>
          <w:rFonts w:ascii="Times New Roman" w:hAnsi="Times New Roman" w:cs="Times New Roman"/>
          <w:lang w:val="uk-UA"/>
        </w:rPr>
        <w:t>невчинення</w:t>
      </w:r>
      <w:proofErr w:type="spellEnd"/>
      <w:r w:rsidRPr="00166032">
        <w:rPr>
          <w:rFonts w:ascii="Times New Roman" w:hAnsi="Times New Roman" w:cs="Times New Roman"/>
          <w:lang w:val="uk-UA"/>
        </w:rPr>
        <w:t xml:space="preserve"> дій під час виконання зазначених повноважень.</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Термін «конфлікт інтересів» є більш широким поняттям і не спростовує можливості виникнення потенційного чи реального конфлікту інтересів при здійснення службових обов’язків навіть за відсутності відносин прямого підпорядкування чи відсутності заборони прямого підпорядкування близьких осіб.</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З метою формування єдиного підходу осіб, уповноважених на виконання функцій держави або місцевого самоврядування, та прирівняних до них осіб до розуміння і дотримання правил запобігання та врегулювання конфлікту інтересів, запроваджених Законом № 1700, Національним агентством з питань запобігання та виявлення корупції затверджено Методичні рекомендації (рішення від 14.07.2016 № 2).</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Відповідно до зазначених Методичних рекомендацій «конфлікт інтересів» – це ситуація, при якій службова особа, виконуючи свої обов’язки, має приватний інтерес (особисту заінтересованість), який хоча і не обов’язково призводить до прийняття неправомірного рішення або вчинення неправомірного діяння, але здатний до цього призвести.</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Незважаючи на те, що далеко не кожен конфлікт між службовими повноваженнями і приватним інтересом здатен призвести до неправомірних рішень чи діянь, кожен із конфліктів інтересів здатен створити таку ситуацію у випадку, якщо не буде вчасно та належним чином задекларований, оцінений та врегульований.</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Визначення поняття «приватний інтерес» надано в частини першої статті 1 Закону № 1700 – це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Врегулювання конфлікту інтересів здійснюється шляхом вжиття заходів зовнішнього та самостійного врегулювання конфлікту інтересів (ст. 29 Закону № 1700).</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Самостійне врегулювання конфлікту інтересів здійснюється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 / ініціювання звільнення з посади.</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Зовнішнє врегулювання конфлікту інтересів здійснюється шляхом: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застосування зовнішнього контролю за виконанням особою відповідного завдання, вчиненням нею певних дій чи прийняття рішень; обмеження доступу особи до певної інформації; перегляду обсягу службових повноважень особи; переведення особи на іншу посаду; звільнення особи.</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Переведення або звільнення особи у зв’язку з наявністю реального чи потенційного конфлікту інтересів здійснюється лише у разі, якщо конфлікт інтересів у її діяльності має постійний характер і не може бути врегульований іншим шляхом (ст. 34 Закону № 1700).</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Також варто зауважити, що згідно з пунктом 15 частини першої статті 11 Закону № 1700 надання роз’яснень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належить до повноважень Національного агентства з питань запобігання та виявлення корупції.</w:t>
      </w:r>
    </w:p>
    <w:p w:rsidR="00B81928" w:rsidRPr="00166032" w:rsidRDefault="00B81928" w:rsidP="00B81928">
      <w:pPr>
        <w:spacing w:after="0"/>
        <w:jc w:val="both"/>
        <w:rPr>
          <w:rFonts w:ascii="Times New Roman" w:hAnsi="Times New Roman" w:cs="Times New Roman"/>
          <w:lang w:val="uk-UA"/>
        </w:rPr>
      </w:pP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xml:space="preserve">                                                                                                        Юридичний відділ  ЦК Профспілки</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w:t>
      </w:r>
    </w:p>
    <w:p w:rsidR="00B81928" w:rsidRPr="00166032" w:rsidRDefault="00B81928" w:rsidP="00B81928">
      <w:pPr>
        <w:spacing w:after="0"/>
        <w:jc w:val="both"/>
        <w:rPr>
          <w:rFonts w:ascii="Times New Roman" w:hAnsi="Times New Roman" w:cs="Times New Roman"/>
          <w:lang w:val="uk-UA"/>
        </w:rPr>
      </w:pPr>
      <w:r w:rsidRPr="00166032">
        <w:rPr>
          <w:rFonts w:ascii="Times New Roman" w:hAnsi="Times New Roman" w:cs="Times New Roman"/>
          <w:lang w:val="uk-UA"/>
        </w:rPr>
        <w:t> </w:t>
      </w:r>
    </w:p>
    <w:p w:rsidR="00B81928" w:rsidRPr="00166032" w:rsidRDefault="00B81928" w:rsidP="00B81928">
      <w:pPr>
        <w:spacing w:after="0"/>
        <w:jc w:val="both"/>
        <w:rPr>
          <w:rFonts w:ascii="Times New Roman" w:hAnsi="Times New Roman" w:cs="Times New Roman"/>
          <w:lang w:val="uk-UA"/>
        </w:rPr>
      </w:pPr>
    </w:p>
    <w:sectPr w:rsidR="00B81928" w:rsidRPr="00166032" w:rsidSect="001A4D29">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393"/>
    <w:rsid w:val="00166032"/>
    <w:rsid w:val="001A4D29"/>
    <w:rsid w:val="0044316D"/>
    <w:rsid w:val="00A25FC0"/>
    <w:rsid w:val="00A47C86"/>
    <w:rsid w:val="00B81928"/>
    <w:rsid w:val="00FD2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C86"/>
  </w:style>
  <w:style w:type="paragraph" w:styleId="2">
    <w:name w:val="heading 2"/>
    <w:basedOn w:val="a"/>
    <w:link w:val="20"/>
    <w:uiPriority w:val="9"/>
    <w:qFormat/>
    <w:rsid w:val="00B819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3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393"/>
    <w:rPr>
      <w:rFonts w:ascii="Tahoma" w:hAnsi="Tahoma" w:cs="Tahoma"/>
      <w:sz w:val="16"/>
      <w:szCs w:val="16"/>
    </w:rPr>
  </w:style>
  <w:style w:type="paragraph" w:styleId="a5">
    <w:name w:val="Normal (Web)"/>
    <w:basedOn w:val="a"/>
    <w:uiPriority w:val="99"/>
    <w:semiHidden/>
    <w:unhideWhenUsed/>
    <w:rsid w:val="00B81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81928"/>
    <w:rPr>
      <w:rFonts w:ascii="Times New Roman" w:eastAsia="Times New Roman" w:hAnsi="Times New Roman" w:cs="Times New Roman"/>
      <w:b/>
      <w:bCs/>
      <w:sz w:val="36"/>
      <w:szCs w:val="36"/>
    </w:rPr>
  </w:style>
  <w:style w:type="character" w:styleId="a6">
    <w:name w:val="Hyperlink"/>
    <w:basedOn w:val="a0"/>
    <w:uiPriority w:val="99"/>
    <w:semiHidden/>
    <w:unhideWhenUsed/>
    <w:rsid w:val="00B81928"/>
    <w:rPr>
      <w:color w:val="0000FF"/>
      <w:u w:val="single"/>
    </w:rPr>
  </w:style>
</w:styles>
</file>

<file path=word/webSettings.xml><?xml version="1.0" encoding="utf-8"?>
<w:webSettings xmlns:r="http://schemas.openxmlformats.org/officeDocument/2006/relationships" xmlns:w="http://schemas.openxmlformats.org/wordprocessingml/2006/main">
  <w:divs>
    <w:div w:id="755829145">
      <w:bodyDiv w:val="1"/>
      <w:marLeft w:val="0"/>
      <w:marRight w:val="0"/>
      <w:marTop w:val="0"/>
      <w:marBottom w:val="0"/>
      <w:divBdr>
        <w:top w:val="none" w:sz="0" w:space="0" w:color="auto"/>
        <w:left w:val="none" w:sz="0" w:space="0" w:color="auto"/>
        <w:bottom w:val="none" w:sz="0" w:space="0" w:color="auto"/>
        <w:right w:val="none" w:sz="0" w:space="0" w:color="auto"/>
      </w:divBdr>
    </w:div>
    <w:div w:id="17168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nu.dp.ua/home/1495-as-for-the-work-of-close-people-in-an-educational-institution-the-trade-union-explains.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1265</Words>
  <Characters>7214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Валентина</cp:lastModifiedBy>
  <cp:revision>9</cp:revision>
  <dcterms:created xsi:type="dcterms:W3CDTF">2017-10-11T06:13:00Z</dcterms:created>
  <dcterms:modified xsi:type="dcterms:W3CDTF">2017-10-12T05:31:00Z</dcterms:modified>
</cp:coreProperties>
</file>