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7" w:rsidRDefault="001644C7" w:rsidP="001644C7">
      <w:pPr>
        <w:shd w:val="clear" w:color="auto" w:fill="FFFFFF"/>
        <w:spacing w:after="83" w:line="240" w:lineRule="auto"/>
        <w:jc w:val="center"/>
        <w:outlineLvl w:val="1"/>
        <w:rPr>
          <w:rFonts w:ascii="Arial" w:eastAsia="Times New Roman" w:hAnsi="Arial" w:cs="Arial"/>
          <w:color w:val="212421"/>
          <w:sz w:val="17"/>
          <w:szCs w:val="17"/>
          <w:lang w:val="uk-UA"/>
        </w:rPr>
      </w:pPr>
      <w:r w:rsidRPr="001C2EC2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3.4pt;height:123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2&#10;лютий 2016 року"/>
          </v:shape>
        </w:pict>
      </w:r>
    </w:p>
    <w:p w:rsidR="001644C7" w:rsidRDefault="001644C7" w:rsidP="001644C7">
      <w:pPr>
        <w:shd w:val="clear" w:color="auto" w:fill="FFFFFF"/>
        <w:spacing w:after="83" w:line="240" w:lineRule="auto"/>
        <w:jc w:val="center"/>
        <w:outlineLvl w:val="1"/>
        <w:rPr>
          <w:rFonts w:ascii="Arial" w:eastAsia="Times New Roman" w:hAnsi="Arial" w:cs="Arial"/>
          <w:color w:val="212421"/>
          <w:sz w:val="17"/>
          <w:szCs w:val="17"/>
          <w:lang w:val="uk-UA"/>
        </w:rPr>
      </w:pPr>
    </w:p>
    <w:p w:rsidR="001644C7" w:rsidRDefault="001644C7" w:rsidP="001644C7">
      <w:pPr>
        <w:shd w:val="clear" w:color="auto" w:fill="FFFFFF"/>
        <w:spacing w:after="83" w:line="240" w:lineRule="auto"/>
        <w:jc w:val="center"/>
        <w:outlineLvl w:val="1"/>
        <w:rPr>
          <w:rFonts w:ascii="Arial" w:eastAsia="Times New Roman" w:hAnsi="Arial" w:cs="Arial"/>
          <w:color w:val="212421"/>
          <w:sz w:val="17"/>
          <w:szCs w:val="17"/>
          <w:lang w:val="uk-UA"/>
        </w:rPr>
      </w:pPr>
    </w:p>
    <w:p w:rsidR="001644C7" w:rsidRDefault="001644C7" w:rsidP="001644C7">
      <w:pPr>
        <w:shd w:val="clear" w:color="auto" w:fill="FFFFFF"/>
        <w:spacing w:after="83" w:line="240" w:lineRule="auto"/>
        <w:jc w:val="center"/>
        <w:outlineLvl w:val="1"/>
        <w:rPr>
          <w:rFonts w:ascii="Arial" w:eastAsia="Times New Roman" w:hAnsi="Arial" w:cs="Arial"/>
          <w:color w:val="212421"/>
          <w:sz w:val="17"/>
          <w:szCs w:val="17"/>
          <w:lang w:val="uk-UA"/>
        </w:rPr>
      </w:pPr>
    </w:p>
    <w:p w:rsidR="001644C7" w:rsidRDefault="001644C7" w:rsidP="001644C7">
      <w:pPr>
        <w:shd w:val="clear" w:color="auto" w:fill="FFFFFF"/>
        <w:spacing w:after="83" w:line="240" w:lineRule="auto"/>
        <w:jc w:val="center"/>
        <w:outlineLvl w:val="1"/>
        <w:rPr>
          <w:rFonts w:ascii="Arial" w:eastAsia="Times New Roman" w:hAnsi="Arial" w:cs="Arial"/>
          <w:color w:val="212421"/>
          <w:sz w:val="17"/>
          <w:szCs w:val="17"/>
          <w:lang w:val="uk-UA"/>
        </w:rPr>
      </w:pPr>
    </w:p>
    <w:p w:rsidR="001644C7" w:rsidRPr="001644C7" w:rsidRDefault="001644C7" w:rsidP="001644C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proofErr w:type="gram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ільги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оплати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комунальних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послуг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передбачено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лише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для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педагогічних</w:t>
        </w:r>
        <w:proofErr w:type="spellEnd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працівників</w:t>
        </w:r>
        <w:proofErr w:type="spellEnd"/>
      </w:hyperlink>
    </w:p>
    <w:p w:rsidR="001644C7" w:rsidRPr="001644C7" w:rsidRDefault="001644C7" w:rsidP="001644C7">
      <w:pPr>
        <w:rPr>
          <w:rFonts w:ascii="Times New Roman" w:hAnsi="Times New Roman" w:cs="Times New Roman"/>
          <w:sz w:val="28"/>
          <w:szCs w:val="28"/>
        </w:rPr>
      </w:pP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розглянув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надіслав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Георгія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Труханова.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57 Закону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1.07.2015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селищах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типу, 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пенсіонерам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них, держава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безплатне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опаленням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освітленням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середньомісячного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 одну особу за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пільгу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(у 2015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 1710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; у 2016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–1 930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).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4.06.2015 № 389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середньомісячного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 Порядок).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Порядком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ільговика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належать особи, на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.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.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документ 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fldChar w:fldCharType="begin"/>
      </w:r>
      <w:r w:rsidRPr="001644C7">
        <w:rPr>
          <w:rFonts w:ascii="Times New Roman" w:hAnsi="Times New Roman" w:cs="Times New Roman"/>
          <w:sz w:val="28"/>
          <w:szCs w:val="28"/>
        </w:rPr>
        <w:instrText xml:space="preserve"> HYPERLINK "http://ponu.dp.ua/images/stories/documents/lyst_pilgu.pdf" </w:instrText>
      </w:r>
      <w:r w:rsidRPr="001644C7">
        <w:rPr>
          <w:rFonts w:ascii="Times New Roman" w:hAnsi="Times New Roman" w:cs="Times New Roman"/>
          <w:sz w:val="28"/>
          <w:szCs w:val="28"/>
        </w:rPr>
        <w:fldChar w:fldCharType="separate"/>
      </w:r>
      <w:r w:rsidRPr="001644C7">
        <w:rPr>
          <w:rStyle w:val="a3"/>
          <w:rFonts w:ascii="Times New Roman" w:hAnsi="Times New Roman" w:cs="Times New Roman"/>
          <w:sz w:val="28"/>
          <w:szCs w:val="28"/>
        </w:rPr>
        <w:t>lyst_pilgu.pdf</w:t>
      </w:r>
      <w:proofErr w:type="spellEnd"/>
      <w:r w:rsidRPr="001644C7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1644C7">
        <w:rPr>
          <w:rFonts w:ascii="Times New Roman" w:hAnsi="Times New Roman" w:cs="Times New Roman"/>
          <w:sz w:val="28"/>
          <w:szCs w:val="28"/>
        </w:rPr>
        <w:fldChar w:fldCharType="end"/>
      </w:r>
      <w:r w:rsidRPr="001644C7">
        <w:rPr>
          <w:rFonts w:ascii="Times New Roman" w:hAnsi="Times New Roman" w:cs="Times New Roman"/>
          <w:sz w:val="28"/>
          <w:szCs w:val="28"/>
        </w:rPr>
        <w:t xml:space="preserve">[443,85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]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Прес-служба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4C7" w:rsidRPr="00262CCA" w:rsidRDefault="00262CCA" w:rsidP="00262CC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262C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uk-UA"/>
        </w:rPr>
        <w:t xml:space="preserve">Комітет </w:t>
      </w:r>
      <w:proofErr w:type="spellStart"/>
      <w:r w:rsidRPr="00262C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uk-UA"/>
        </w:rPr>
        <w:t>Парл</w:t>
      </w:r>
      <w:proofErr w:type="spellEnd"/>
      <w:r w:rsidR="001644C7" w:rsidRPr="00262C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fldChar w:fldCharType="begin"/>
      </w:r>
      <w:r w:rsidR="001644C7" w:rsidRPr="00262C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instrText xml:space="preserve"> HYPERLINK "http://ponu.dp.ua/home/1175-012716-committee-of-parliament-on-social-policy-supports-the-position-unions-.html" </w:instrText>
      </w:r>
      <w:r w:rsidR="001644C7" w:rsidRPr="00262C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fldChar w:fldCharType="separate"/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аменту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з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питань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соціальної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політики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підтримує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позицію</w:t>
      </w:r>
      <w:proofErr w:type="spellEnd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1644C7" w:rsidRPr="00262CCA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Профспілки</w:t>
      </w:r>
      <w:proofErr w:type="spellEnd"/>
      <w:r w:rsidR="001644C7" w:rsidRPr="00262C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fldChar w:fldCharType="end"/>
      </w:r>
    </w:p>
    <w:p w:rsidR="001644C7" w:rsidRPr="00262CCA" w:rsidRDefault="001644C7" w:rsidP="0026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4C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-1263</wp:posOffset>
            </wp:positionV>
            <wp:extent cx="1617565" cy="972541"/>
            <wp:effectExtent l="19050" t="0" r="1685" b="0"/>
            <wp:wrapSquare wrapText="bothSides"/>
            <wp:docPr id="41" name="Рисунок 41" descr="1453817685_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453817685_4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65" cy="97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4C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4C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644C7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ЦК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пропозиціями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доопрацьованого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проекту Закону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4C7">
        <w:rPr>
          <w:rFonts w:ascii="Times New Roman" w:hAnsi="Times New Roman" w:cs="Times New Roman"/>
          <w:sz w:val="24"/>
          <w:szCs w:val="24"/>
        </w:rPr>
        <w:t xml:space="preserve">оплати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працівник</w:t>
      </w:r>
      <w:proofErr w:type="gramEnd"/>
      <w:r w:rsidRPr="001644C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забезпеченості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видатками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>.</w:t>
      </w:r>
    </w:p>
    <w:p w:rsidR="001644C7" w:rsidRPr="001644C7" w:rsidRDefault="00262CCA" w:rsidP="0026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644C7" w:rsidRPr="001644C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="001644C7" w:rsidRPr="001644C7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="001644C7" w:rsidRPr="001644C7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послідовно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обстоює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обґрунтованого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розмірів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не просто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виживання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повноцінного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spellStart"/>
      <w:r w:rsidR="001644C7" w:rsidRPr="001644C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1644C7" w:rsidRPr="001644C7">
        <w:rPr>
          <w:rFonts w:ascii="Times New Roman" w:hAnsi="Times New Roman" w:cs="Times New Roman"/>
          <w:sz w:val="24"/>
          <w:szCs w:val="24"/>
        </w:rPr>
        <w:t>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4C7">
        <w:rPr>
          <w:rFonts w:ascii="Times New Roman" w:hAnsi="Times New Roman" w:cs="Times New Roman"/>
          <w:sz w:val="24"/>
          <w:szCs w:val="24"/>
        </w:rPr>
        <w:t> 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 xml:space="preserve"> текст документа 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fldChar w:fldCharType="begin"/>
      </w:r>
      <w:r w:rsidRPr="001644C7">
        <w:rPr>
          <w:rFonts w:ascii="Times New Roman" w:hAnsi="Times New Roman" w:cs="Times New Roman"/>
          <w:sz w:val="24"/>
          <w:szCs w:val="24"/>
        </w:rPr>
        <w:instrText xml:space="preserve"> HYPERLINK "http://ponu.dp.ua/images/stories/documents/lyst_budget.pdf" </w:instrText>
      </w:r>
      <w:r w:rsidRPr="001644C7">
        <w:rPr>
          <w:rFonts w:ascii="Times New Roman" w:hAnsi="Times New Roman" w:cs="Times New Roman"/>
          <w:sz w:val="24"/>
          <w:szCs w:val="24"/>
        </w:rPr>
        <w:fldChar w:fldCharType="separate"/>
      </w:r>
      <w:r w:rsidRPr="001644C7">
        <w:rPr>
          <w:rStyle w:val="a3"/>
          <w:rFonts w:ascii="Times New Roman" w:hAnsi="Times New Roman" w:cs="Times New Roman"/>
          <w:sz w:val="24"/>
          <w:szCs w:val="24"/>
        </w:rPr>
        <w:t>lyst_budget.pdf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fldChar w:fldCharType="end"/>
      </w:r>
      <w:r w:rsidRPr="001644C7">
        <w:rPr>
          <w:rFonts w:ascii="Times New Roman" w:hAnsi="Times New Roman" w:cs="Times New Roman"/>
          <w:sz w:val="24"/>
          <w:szCs w:val="24"/>
        </w:rPr>
        <w:t xml:space="preserve"> [1,45 </w:t>
      </w:r>
      <w:proofErr w:type="spellStart"/>
      <w:r w:rsidRPr="001644C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1644C7">
        <w:rPr>
          <w:rFonts w:ascii="Times New Roman" w:hAnsi="Times New Roman" w:cs="Times New Roman"/>
          <w:sz w:val="24"/>
          <w:szCs w:val="24"/>
        </w:rPr>
        <w:t>]</w:t>
      </w:r>
    </w:p>
    <w:p w:rsidR="001644C7" w:rsidRP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C7">
        <w:rPr>
          <w:rFonts w:ascii="Times New Roman" w:hAnsi="Times New Roman" w:cs="Times New Roman"/>
          <w:sz w:val="24"/>
          <w:szCs w:val="24"/>
        </w:rPr>
        <w:t>  </w:t>
      </w:r>
    </w:p>
    <w:p w:rsidR="001644C7" w:rsidRPr="00262CCA" w:rsidRDefault="00262CCA" w:rsidP="00164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proofErr w:type="spellStart"/>
      <w:r w:rsidR="001644C7" w:rsidRPr="00262CCA">
        <w:rPr>
          <w:rFonts w:ascii="Times New Roman" w:hAnsi="Times New Roman" w:cs="Times New Roman"/>
          <w:sz w:val="20"/>
          <w:szCs w:val="20"/>
        </w:rPr>
        <w:t>Прес-служба</w:t>
      </w:r>
      <w:proofErr w:type="spellEnd"/>
      <w:r w:rsidR="001644C7" w:rsidRPr="00262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4C7" w:rsidRPr="00262CCA">
        <w:rPr>
          <w:rFonts w:ascii="Times New Roman" w:hAnsi="Times New Roman" w:cs="Times New Roman"/>
          <w:sz w:val="20"/>
          <w:szCs w:val="20"/>
        </w:rPr>
        <w:t>Профспілки</w:t>
      </w:r>
      <w:proofErr w:type="spellEnd"/>
      <w:r w:rsidR="001644C7" w:rsidRPr="00262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4C7" w:rsidRPr="00262CCA">
        <w:rPr>
          <w:rFonts w:ascii="Times New Roman" w:hAnsi="Times New Roman" w:cs="Times New Roman"/>
          <w:sz w:val="20"/>
          <w:szCs w:val="20"/>
        </w:rPr>
        <w:t>працівників</w:t>
      </w:r>
      <w:proofErr w:type="spellEnd"/>
      <w:r w:rsidR="001644C7" w:rsidRPr="00262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4C7" w:rsidRPr="00262CCA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="001644C7" w:rsidRPr="00262C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4C7" w:rsidRPr="00262CCA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1644C7" w:rsidRPr="00262CCA">
        <w:rPr>
          <w:rFonts w:ascii="Times New Roman" w:hAnsi="Times New Roman" w:cs="Times New Roman"/>
          <w:sz w:val="20"/>
          <w:szCs w:val="20"/>
        </w:rPr>
        <w:t xml:space="preserve"> науки </w:t>
      </w:r>
      <w:proofErr w:type="spellStart"/>
      <w:r w:rsidR="001644C7" w:rsidRPr="00262CCA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</w:p>
    <w:p w:rsidR="001644C7" w:rsidRPr="00262CCA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4C7" w:rsidRDefault="001644C7" w:rsidP="0016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4C7" w:rsidRPr="001644C7" w:rsidRDefault="001644C7" w:rsidP="001644C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A2A2A"/>
          <w:sz w:val="2"/>
          <w:szCs w:val="2"/>
        </w:rPr>
      </w:pPr>
    </w:p>
    <w:p w:rsidR="001644C7" w:rsidRPr="00262CCA" w:rsidRDefault="001644C7" w:rsidP="00262CC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proofErr w:type="spellStart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Аналітика</w:t>
      </w:r>
      <w:proofErr w:type="spellEnd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про </w:t>
      </w:r>
      <w:proofErr w:type="spellStart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загальноосвітні</w:t>
      </w:r>
      <w:proofErr w:type="spellEnd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навчальні</w:t>
      </w:r>
      <w:proofErr w:type="spellEnd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заклади</w:t>
      </w:r>
      <w:proofErr w:type="spellEnd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262CC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України</w:t>
      </w:r>
      <w:proofErr w:type="spellEnd"/>
    </w:p>
    <w:p w:rsidR="001644C7" w:rsidRPr="00262CCA" w:rsidRDefault="001644C7" w:rsidP="00262CC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17167</wp:posOffset>
            </wp:positionH>
            <wp:positionV relativeFrom="paragraph">
              <wp:posOffset>-1670</wp:posOffset>
            </wp:positionV>
            <wp:extent cx="1617565" cy="1094109"/>
            <wp:effectExtent l="19050" t="0" r="1685" b="0"/>
            <wp:wrapSquare wrapText="bothSides"/>
            <wp:docPr id="9" name="Рисунок 9" descr="1453708978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53708978_1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65" cy="109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узагальнили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скоротилася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 1,52 % –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 267 ЗНЗ (в тому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інтернати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).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У 2014-2015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17 604 ЗНЗ,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2015/2016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 17 337.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інтернати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становить 1,48 %.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два роки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закрито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231, 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Донецьку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закрито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ЗНЗ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lastRenderedPageBreak/>
        <w:t>Чернігівській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областях.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зменшенні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 xml:space="preserve">На один ЗНЗ у 2015/2016 н. р.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218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3 783 150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. У 2015-2016 н. р.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Закарпатській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– у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іровоградській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За два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 22 882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прирі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1-х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ЗНЗ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спостерігався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областях.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1-і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Запорізькій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644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івненській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областях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2015-2016 н. р.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дев’ятих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на 9 775.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областях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десятикласникі</w:t>
      </w:r>
      <w:proofErr w:type="gramStart"/>
      <w:r w:rsidRPr="001644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ЗНЗ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Найзначніше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десятикласників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644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44C7">
        <w:rPr>
          <w:rFonts w:ascii="Times New Roman" w:hAnsi="Times New Roman" w:cs="Times New Roman"/>
          <w:sz w:val="28"/>
          <w:szCs w:val="28"/>
        </w:rPr>
        <w:t>істах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Тернопільській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аналітику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1644C7">
          <w:rPr>
            <w:rStyle w:val="a3"/>
            <w:rFonts w:ascii="Times New Roman" w:hAnsi="Times New Roman" w:cs="Times New Roman"/>
            <w:sz w:val="28"/>
            <w:szCs w:val="28"/>
          </w:rPr>
          <w:t>statistika-po-dennix-znz.doc</w:t>
        </w:r>
      </w:hyperlink>
      <w:r w:rsidRPr="001644C7">
        <w:rPr>
          <w:rFonts w:ascii="Times New Roman" w:hAnsi="Times New Roman" w:cs="Times New Roman"/>
          <w:sz w:val="28"/>
          <w:szCs w:val="28"/>
        </w:rPr>
        <w:t xml:space="preserve"> [935,5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>]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</w:p>
    <w:p w:rsidR="001644C7" w:rsidRPr="001644C7" w:rsidRDefault="001644C7" w:rsidP="00262C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644C7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1644C7">
        <w:rPr>
          <w:rFonts w:ascii="Times New Roman" w:hAnsi="Times New Roman" w:cs="Times New Roman"/>
          <w:sz w:val="28"/>
          <w:szCs w:val="28"/>
        </w:rPr>
        <w:t xml:space="preserve"> МОН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7">
        <w:rPr>
          <w:rFonts w:ascii="Times New Roman" w:hAnsi="Times New Roman" w:cs="Times New Roman"/>
          <w:sz w:val="28"/>
          <w:szCs w:val="28"/>
        </w:rPr>
        <w:t> </w:t>
      </w:r>
    </w:p>
    <w:p w:rsidR="001644C7" w:rsidRPr="001644C7" w:rsidRDefault="001644C7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31" w:rsidRPr="001644C7" w:rsidRDefault="00011931" w:rsidP="0026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1931" w:rsidRPr="0016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644C7"/>
    <w:rsid w:val="00011931"/>
    <w:rsid w:val="001644C7"/>
    <w:rsid w:val="0026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644C7"/>
    <w:rPr>
      <w:color w:val="0000FF"/>
      <w:u w:val="single"/>
    </w:rPr>
  </w:style>
  <w:style w:type="paragraph" w:customStyle="1" w:styleId="buttonheading">
    <w:name w:val="buttonheading"/>
    <w:basedOn w:val="a"/>
    <w:rsid w:val="0016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4C7"/>
  </w:style>
  <w:style w:type="paragraph" w:styleId="a5">
    <w:name w:val="Balloon Text"/>
    <w:basedOn w:val="a"/>
    <w:link w:val="a6"/>
    <w:uiPriority w:val="99"/>
    <w:semiHidden/>
    <w:unhideWhenUsed/>
    <w:rsid w:val="001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4C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644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85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8489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32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0336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47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53744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99191">
                                                  <w:marLeft w:val="33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53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57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8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nu.dp.ua/images/stories/documents/statistika-po-dennix-znz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nu.dp.ua/home/1173-012616-privileges-utilities-provided-only-for-teach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2016-01-28T07:27:00Z</dcterms:created>
  <dcterms:modified xsi:type="dcterms:W3CDTF">2016-01-28T07:46:00Z</dcterms:modified>
</cp:coreProperties>
</file>